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8784" w14:textId="77777777" w:rsidR="0012296E" w:rsidRDefault="0012296E" w:rsidP="00236ACE"/>
    <w:p w14:paraId="767AAA51" w14:textId="77777777" w:rsidR="0012296E" w:rsidRDefault="0012296E" w:rsidP="00236ACE"/>
    <w:p w14:paraId="129D06AF" w14:textId="77777777" w:rsidR="00EB36B4" w:rsidRDefault="00EB36B4" w:rsidP="00366E39">
      <w:pPr>
        <w:jc w:val="center"/>
        <w:rPr>
          <w:noProof/>
          <w:sz w:val="50"/>
          <w:szCs w:val="50"/>
        </w:rPr>
      </w:pPr>
    </w:p>
    <w:p w14:paraId="5AE4DDAF" w14:textId="3C5FBEEC" w:rsidR="0012296E" w:rsidRPr="006621AE" w:rsidRDefault="004D22BD" w:rsidP="00366E39">
      <w:pPr>
        <w:jc w:val="center"/>
        <w:rPr>
          <w:sz w:val="50"/>
          <w:szCs w:val="50"/>
        </w:rPr>
      </w:pPr>
      <w:r w:rsidRPr="006621AE">
        <w:rPr>
          <w:noProof/>
          <w:sz w:val="50"/>
          <w:szCs w:val="50"/>
        </w:rPr>
        <w:drawing>
          <wp:anchor distT="0" distB="0" distL="114300" distR="114300" simplePos="0" relativeHeight="251658240" behindDoc="0" locked="0" layoutInCell="1" allowOverlap="1" wp14:anchorId="03937FF5" wp14:editId="4CA09C9D">
            <wp:simplePos x="0" y="0"/>
            <wp:positionH relativeFrom="margin">
              <wp:posOffset>4270375</wp:posOffset>
            </wp:positionH>
            <wp:positionV relativeFrom="margin">
              <wp:posOffset>-787400</wp:posOffset>
            </wp:positionV>
            <wp:extent cx="2453640" cy="100584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_Horiz_Color_Small_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005840"/>
                    </a:xfrm>
                    <a:prstGeom prst="rect">
                      <a:avLst/>
                    </a:prstGeom>
                  </pic:spPr>
                </pic:pic>
              </a:graphicData>
            </a:graphic>
          </wp:anchor>
        </w:drawing>
      </w:r>
      <w:r w:rsidR="00857930">
        <w:rPr>
          <w:noProof/>
          <w:sz w:val="50"/>
          <w:szCs w:val="50"/>
        </w:rPr>
        <w:t>How to Document Refusal of an Immunization</w:t>
      </w:r>
    </w:p>
    <w:p w14:paraId="191970F2" w14:textId="77777777" w:rsidR="008161FD" w:rsidRDefault="00236ACE" w:rsidP="00236ACE">
      <w:r>
        <w:t xml:space="preserve"> </w:t>
      </w:r>
    </w:p>
    <w:p w14:paraId="000EBCC0" w14:textId="77777777" w:rsidR="0012296E" w:rsidRDefault="0012296E" w:rsidP="00236ACE"/>
    <w:p w14:paraId="506BB424" w14:textId="77777777" w:rsidR="0012296E" w:rsidRDefault="0012296E" w:rsidP="00236ACE"/>
    <w:p w14:paraId="09FDF7F8" w14:textId="0BA0E9DF" w:rsidR="00366E39" w:rsidRDefault="00366E39" w:rsidP="00366E39">
      <w:pPr>
        <w:jc w:val="center"/>
      </w:pPr>
    </w:p>
    <w:p w14:paraId="6F1EAE5F" w14:textId="77777777" w:rsidR="00366E39" w:rsidRDefault="00366E39" w:rsidP="00366E39">
      <w:pPr>
        <w:jc w:val="center"/>
      </w:pPr>
    </w:p>
    <w:p w14:paraId="1C1B3F1F" w14:textId="1FBF41DD" w:rsidR="00857930" w:rsidRDefault="00857930" w:rsidP="00857930">
      <w:r>
        <w:t>There are two ways to document an immunization as “Refused.”</w:t>
      </w:r>
    </w:p>
    <w:p w14:paraId="6F89510D" w14:textId="77777777" w:rsidR="00E819A9" w:rsidRDefault="00E819A9" w:rsidP="00857930"/>
    <w:p w14:paraId="08F4469C" w14:textId="2D3A1207" w:rsidR="00E819A9" w:rsidRDefault="00E819A9" w:rsidP="00857930">
      <w:r>
        <w:t>These scenarios are for patients who refuse to get the immunization ever during this flu season.  If the patient is simply declining for now/today, you will Postpone the immunization.</w:t>
      </w:r>
    </w:p>
    <w:p w14:paraId="074E7163" w14:textId="67609BFC" w:rsidR="00857930" w:rsidRDefault="00857930" w:rsidP="00857930"/>
    <w:p w14:paraId="004CF528" w14:textId="0CA1A7EA" w:rsidR="00857930" w:rsidRDefault="00857930" w:rsidP="00857930">
      <w:r>
        <w:t>In both scenarios, the immunization must first be entered as “Scheduled in Clinic” in the Immunization Screen.</w:t>
      </w:r>
      <w:r w:rsidR="00E819A9">
        <w:t xml:space="preserve">  </w:t>
      </w:r>
    </w:p>
    <w:p w14:paraId="2D00A01B" w14:textId="0C0AFFE2" w:rsidR="00857930" w:rsidRDefault="00857930" w:rsidP="00857930"/>
    <w:p w14:paraId="1D072CF0" w14:textId="308500E2" w:rsidR="00857930" w:rsidRDefault="00857930" w:rsidP="00857930">
      <w:r w:rsidRPr="00A2560E">
        <w:t>An immunization can only be scheduled for “today” or the future.</w:t>
      </w:r>
      <w:r w:rsidR="00A2560E" w:rsidRPr="00A2560E">
        <w:t xml:space="preserve">  </w:t>
      </w:r>
      <w:r w:rsidR="00A2560E" w:rsidRPr="007C48F7">
        <w:t>Also, the immunization can only be scheduled on a day the patient has an appointment in Patient Schedule.</w:t>
      </w:r>
    </w:p>
    <w:p w14:paraId="7E1D30EB" w14:textId="77777777" w:rsidR="00857930" w:rsidRDefault="00857930" w:rsidP="00857930"/>
    <w:p w14:paraId="4F83D777" w14:textId="77777777" w:rsidR="00857930" w:rsidRDefault="00857930" w:rsidP="00857930">
      <w:r>
        <w:rPr>
          <w:b/>
          <w:bCs/>
        </w:rPr>
        <w:t xml:space="preserve">Primary Workflow:  </w:t>
      </w:r>
      <w:r>
        <w:t xml:space="preserve"> A patient refuses when the RN goes to administer the injection.</w:t>
      </w:r>
    </w:p>
    <w:p w14:paraId="31B2B799" w14:textId="77777777" w:rsidR="00857930" w:rsidRDefault="00857930" w:rsidP="00857930"/>
    <w:p w14:paraId="53064BAE" w14:textId="77777777" w:rsidR="00857930" w:rsidRDefault="00857930" w:rsidP="00857930">
      <w:pPr>
        <w:pStyle w:val="ListParagraph"/>
        <w:numPr>
          <w:ilvl w:val="0"/>
          <w:numId w:val="10"/>
        </w:numPr>
      </w:pPr>
      <w:r>
        <w:t xml:space="preserve">Enter the immunization as Scheduled in Clinic in Immunizations </w:t>
      </w:r>
    </w:p>
    <w:p w14:paraId="39514D10" w14:textId="7A8A3302" w:rsidR="00857930" w:rsidRDefault="00857930" w:rsidP="00857930">
      <w:pPr>
        <w:pStyle w:val="ListParagraph"/>
        <w:numPr>
          <w:ilvl w:val="0"/>
          <w:numId w:val="10"/>
        </w:numPr>
      </w:pPr>
      <w:r>
        <w:t>Go to RTC or VM&gt;Medications/</w:t>
      </w:r>
      <w:proofErr w:type="spellStart"/>
      <w:r>
        <w:t>Imn</w:t>
      </w:r>
      <w:proofErr w:type="spellEnd"/>
      <w:r>
        <w:t xml:space="preserve"> tab and mark it “</w:t>
      </w:r>
      <w:r w:rsidR="00F87713">
        <w:t>Not Administered</w:t>
      </w:r>
      <w:r>
        <w:t>.”</w:t>
      </w:r>
    </w:p>
    <w:p w14:paraId="5C513C09" w14:textId="26FAFC77" w:rsidR="00857930" w:rsidRDefault="00857930" w:rsidP="00857930">
      <w:pPr>
        <w:pStyle w:val="ListParagraph"/>
        <w:numPr>
          <w:ilvl w:val="0"/>
          <w:numId w:val="10"/>
        </w:numPr>
      </w:pPr>
      <w:r>
        <w:t>When you check the “</w:t>
      </w:r>
      <w:r w:rsidR="00F87713">
        <w:t>Not Administer</w:t>
      </w:r>
      <w:r w:rsidR="00126A96">
        <w:t>e</w:t>
      </w:r>
      <w:r w:rsidR="00F87713">
        <w:t>d</w:t>
      </w:r>
      <w:r>
        <w:t>” radio button, it will open another field and require you to enter the Reason for Refusal. </w:t>
      </w:r>
      <w:r w:rsidR="00126A96">
        <w:t xml:space="preserve"> If there is no medical reason for the refusal, select “Personal.” </w:t>
      </w:r>
      <w:r>
        <w:t xml:space="preserve">Save the change and when the </w:t>
      </w:r>
      <w:proofErr w:type="spellStart"/>
      <w:r>
        <w:t>tx</w:t>
      </w:r>
      <w:proofErr w:type="spellEnd"/>
      <w:r>
        <w:t xml:space="preserve"> is posted, it will update the Immunizations screen.</w:t>
      </w:r>
    </w:p>
    <w:p w14:paraId="337912D1" w14:textId="77777777" w:rsidR="00857930" w:rsidRDefault="00857930" w:rsidP="00857930"/>
    <w:p w14:paraId="46D3A4D5" w14:textId="5DA19506" w:rsidR="00857930" w:rsidRDefault="00126A96" w:rsidP="00857930">
      <w:r>
        <w:rPr>
          <w:noProof/>
        </w:rPr>
        <w:drawing>
          <wp:inline distT="0" distB="0" distL="0" distR="0" wp14:anchorId="1ADEF554" wp14:editId="356CA635">
            <wp:extent cx="5943600" cy="796925"/>
            <wp:effectExtent l="0" t="0" r="0" b="3175"/>
            <wp:docPr id="2387848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84843" name="Picture 1" descr="A screenshot of a computer&#10;&#10;AI-generated content may be incorrect."/>
                    <pic:cNvPicPr/>
                  </pic:nvPicPr>
                  <pic:blipFill>
                    <a:blip r:embed="rId8"/>
                    <a:stretch>
                      <a:fillRect/>
                    </a:stretch>
                  </pic:blipFill>
                  <pic:spPr>
                    <a:xfrm>
                      <a:off x="0" y="0"/>
                      <a:ext cx="5943600" cy="796925"/>
                    </a:xfrm>
                    <a:prstGeom prst="rect">
                      <a:avLst/>
                    </a:prstGeom>
                  </pic:spPr>
                </pic:pic>
              </a:graphicData>
            </a:graphic>
          </wp:inline>
        </w:drawing>
      </w:r>
    </w:p>
    <w:p w14:paraId="08DEF371" w14:textId="77777777" w:rsidR="00126A96" w:rsidRDefault="00126A96" w:rsidP="00857930"/>
    <w:p w14:paraId="51574AB0" w14:textId="0F2AA0CF" w:rsidR="00126A96" w:rsidRDefault="00126A96" w:rsidP="00857930">
      <w:r>
        <w:rPr>
          <w:noProof/>
        </w:rPr>
        <w:lastRenderedPageBreak/>
        <w:drawing>
          <wp:inline distT="0" distB="0" distL="0" distR="0" wp14:anchorId="7167E81C" wp14:editId="7EDE088D">
            <wp:extent cx="2149026" cy="2255715"/>
            <wp:effectExtent l="0" t="0" r="3810" b="0"/>
            <wp:docPr id="5803753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75370" name="Picture 1" descr="A screenshot of a computer&#10;&#10;AI-generated content may be incorrect."/>
                    <pic:cNvPicPr/>
                  </pic:nvPicPr>
                  <pic:blipFill>
                    <a:blip r:embed="rId9"/>
                    <a:stretch>
                      <a:fillRect/>
                    </a:stretch>
                  </pic:blipFill>
                  <pic:spPr>
                    <a:xfrm>
                      <a:off x="0" y="0"/>
                      <a:ext cx="2149026" cy="2255715"/>
                    </a:xfrm>
                    <a:prstGeom prst="rect">
                      <a:avLst/>
                    </a:prstGeom>
                  </pic:spPr>
                </pic:pic>
              </a:graphicData>
            </a:graphic>
          </wp:inline>
        </w:drawing>
      </w:r>
    </w:p>
    <w:p w14:paraId="40674F1A" w14:textId="77777777" w:rsidR="00857930" w:rsidRDefault="00857930" w:rsidP="00857930"/>
    <w:p w14:paraId="56527C79" w14:textId="0543B99E" w:rsidR="00857930" w:rsidRDefault="00857930" w:rsidP="00857930">
      <w:r w:rsidRPr="00857930">
        <w:rPr>
          <w:b/>
          <w:bCs/>
        </w:rPr>
        <w:t>Secondary Workflow</w:t>
      </w:r>
      <w:r>
        <w:t xml:space="preserve">: The patient tells you up front that they don’t want to get the vaccine, so you do not </w:t>
      </w:r>
      <w:r>
        <w:rPr>
          <w:i/>
          <w:iCs/>
        </w:rPr>
        <w:t>intend</w:t>
      </w:r>
      <w:r>
        <w:t xml:space="preserve"> to have it given during </w:t>
      </w:r>
      <w:proofErr w:type="spellStart"/>
      <w:r>
        <w:t>tx</w:t>
      </w:r>
      <w:proofErr w:type="spellEnd"/>
      <w:r>
        <w:t>, but you do want a record of the patient refusing it.</w:t>
      </w:r>
    </w:p>
    <w:p w14:paraId="123493DB" w14:textId="77777777" w:rsidR="00857930" w:rsidRDefault="00857930" w:rsidP="00857930"/>
    <w:p w14:paraId="357E1A9B" w14:textId="77777777" w:rsidR="00857930" w:rsidRDefault="00857930" w:rsidP="00857930">
      <w:pPr>
        <w:pStyle w:val="ListParagraph"/>
        <w:numPr>
          <w:ilvl w:val="0"/>
          <w:numId w:val="8"/>
        </w:numPr>
        <w:spacing w:after="0" w:line="240" w:lineRule="auto"/>
        <w:contextualSpacing w:val="0"/>
        <w:rPr>
          <w:rFonts w:eastAsia="Times New Roman"/>
        </w:rPr>
      </w:pPr>
      <w:bookmarkStart w:id="0" w:name="_Hlk70060693"/>
      <w:r>
        <w:rPr>
          <w:rFonts w:eastAsia="Times New Roman"/>
        </w:rPr>
        <w:t>Enter the immunization as Scheduled in Clinic in Immunizations</w:t>
      </w:r>
    </w:p>
    <w:p w14:paraId="41CF6E52" w14:textId="73F80107" w:rsidR="00857930" w:rsidRDefault="00857930" w:rsidP="00857930">
      <w:pPr>
        <w:pStyle w:val="ListParagraph"/>
        <w:numPr>
          <w:ilvl w:val="0"/>
          <w:numId w:val="8"/>
        </w:numPr>
        <w:spacing w:after="0" w:line="240" w:lineRule="auto"/>
        <w:contextualSpacing w:val="0"/>
        <w:rPr>
          <w:rFonts w:eastAsia="Times New Roman"/>
        </w:rPr>
      </w:pPr>
      <w:r>
        <w:rPr>
          <w:rFonts w:eastAsia="Times New Roman"/>
        </w:rPr>
        <w:t>After you have saved/added that entry, open it again</w:t>
      </w:r>
      <w:r w:rsidR="009F704C">
        <w:rPr>
          <w:rFonts w:eastAsia="Times New Roman"/>
        </w:rPr>
        <w:t>.</w:t>
      </w:r>
    </w:p>
    <w:p w14:paraId="4DC81A9A" w14:textId="3511227A" w:rsidR="00857930" w:rsidRDefault="00857930" w:rsidP="00857930">
      <w:pPr>
        <w:pStyle w:val="ListParagraph"/>
        <w:numPr>
          <w:ilvl w:val="0"/>
          <w:numId w:val="8"/>
        </w:numPr>
        <w:spacing w:after="0" w:line="240" w:lineRule="auto"/>
        <w:contextualSpacing w:val="0"/>
        <w:rPr>
          <w:rFonts w:eastAsia="Times New Roman"/>
        </w:rPr>
      </w:pPr>
      <w:r>
        <w:rPr>
          <w:rFonts w:eastAsia="Times New Roman"/>
        </w:rPr>
        <w:t xml:space="preserve">Change the status from Scheduled in Clinic to </w:t>
      </w:r>
      <w:r w:rsidR="00694036">
        <w:rPr>
          <w:rFonts w:eastAsia="Times New Roman"/>
        </w:rPr>
        <w:t>Not Administered</w:t>
      </w:r>
      <w:r>
        <w:rPr>
          <w:rFonts w:eastAsia="Times New Roman"/>
        </w:rPr>
        <w:t xml:space="preserve"> and document the reason why.</w:t>
      </w:r>
      <w:r w:rsidR="009F704C">
        <w:rPr>
          <w:rFonts w:eastAsia="Times New Roman"/>
        </w:rPr>
        <w:t xml:space="preserve"> </w:t>
      </w:r>
      <w:bookmarkEnd w:id="0"/>
    </w:p>
    <w:p w14:paraId="1F7CC660" w14:textId="77777777" w:rsidR="000C6B03" w:rsidRDefault="000C6B03" w:rsidP="000C6B03">
      <w:pPr>
        <w:pStyle w:val="ListParagraph"/>
        <w:spacing w:after="0" w:line="240" w:lineRule="auto"/>
        <w:ind w:left="1440"/>
        <w:contextualSpacing w:val="0"/>
        <w:rPr>
          <w:rFonts w:eastAsia="Times New Roman"/>
        </w:rPr>
      </w:pPr>
    </w:p>
    <w:p w14:paraId="10B1657B" w14:textId="79E3734F" w:rsidR="00857930" w:rsidRDefault="00857930" w:rsidP="00857930">
      <w:pPr>
        <w:pStyle w:val="ListParagraph"/>
        <w:numPr>
          <w:ilvl w:val="0"/>
          <w:numId w:val="8"/>
        </w:numPr>
        <w:spacing w:after="0" w:line="240" w:lineRule="auto"/>
        <w:contextualSpacing w:val="0"/>
        <w:rPr>
          <w:rFonts w:eastAsia="Times New Roman"/>
        </w:rPr>
      </w:pPr>
      <w:r w:rsidRPr="00857930">
        <w:rPr>
          <w:rFonts w:eastAsia="Times New Roman"/>
          <w:b/>
          <w:bCs/>
        </w:rPr>
        <w:t>NOTE</w:t>
      </w:r>
      <w:r>
        <w:rPr>
          <w:rFonts w:eastAsia="Times New Roman"/>
        </w:rPr>
        <w:t xml:space="preserve">:  If you have entered the Scheduled in Clinic Immunization Date and the patient has an RTC or VM session </w:t>
      </w:r>
      <w:r w:rsidR="009F704C">
        <w:rPr>
          <w:rFonts w:eastAsia="Times New Roman"/>
        </w:rPr>
        <w:t xml:space="preserve">created </w:t>
      </w:r>
      <w:r>
        <w:rPr>
          <w:rFonts w:eastAsia="Times New Roman"/>
        </w:rPr>
        <w:t>(</w:t>
      </w:r>
      <w:r w:rsidR="00E819A9">
        <w:rPr>
          <w:rFonts w:eastAsia="Times New Roman"/>
        </w:rPr>
        <w:t>open but unposted</w:t>
      </w:r>
      <w:r>
        <w:rPr>
          <w:rFonts w:eastAsia="Times New Roman"/>
        </w:rPr>
        <w:t xml:space="preserve"> or posted) on that date, Clarity will force you to go to RTC or VM to document the </w:t>
      </w:r>
      <w:r w:rsidR="00694036">
        <w:rPr>
          <w:rFonts w:eastAsia="Times New Roman"/>
        </w:rPr>
        <w:t>Not Administered</w:t>
      </w:r>
      <w:r>
        <w:rPr>
          <w:rFonts w:eastAsia="Times New Roman"/>
        </w:rPr>
        <w:t>.  It will try to make you go through the primary workflow.  This secondary pathway should only be used if the patient does not have an RTC or VM session already created for that date.</w:t>
      </w:r>
      <w:r w:rsidR="00A2560E">
        <w:rPr>
          <w:rFonts w:eastAsia="Times New Roman"/>
        </w:rPr>
        <w:t xml:space="preserve">  </w:t>
      </w:r>
    </w:p>
    <w:p w14:paraId="008EE9DE" w14:textId="77777777" w:rsidR="00857930" w:rsidRDefault="00857930" w:rsidP="00857930"/>
    <w:p w14:paraId="05AE9662" w14:textId="5FB35865" w:rsidR="00857930" w:rsidRDefault="00694036" w:rsidP="00857930">
      <w:r>
        <w:rPr>
          <w:noProof/>
        </w:rPr>
        <w:drawing>
          <wp:inline distT="0" distB="0" distL="0" distR="0" wp14:anchorId="7E531499" wp14:editId="2770FFC6">
            <wp:extent cx="5943600" cy="1383030"/>
            <wp:effectExtent l="0" t="0" r="0" b="7620"/>
            <wp:docPr id="17394216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21602" name="Picture 1" descr="A screenshot of a computer&#10;&#10;AI-generated content may be incorrect."/>
                    <pic:cNvPicPr/>
                  </pic:nvPicPr>
                  <pic:blipFill>
                    <a:blip r:embed="rId10"/>
                    <a:stretch>
                      <a:fillRect/>
                    </a:stretch>
                  </pic:blipFill>
                  <pic:spPr>
                    <a:xfrm>
                      <a:off x="0" y="0"/>
                      <a:ext cx="5943600" cy="1383030"/>
                    </a:xfrm>
                    <a:prstGeom prst="rect">
                      <a:avLst/>
                    </a:prstGeom>
                  </pic:spPr>
                </pic:pic>
              </a:graphicData>
            </a:graphic>
          </wp:inline>
        </w:drawing>
      </w:r>
    </w:p>
    <w:p w14:paraId="15CBF1F1" w14:textId="77777777" w:rsidR="00857930" w:rsidRDefault="00857930" w:rsidP="00857930"/>
    <w:p w14:paraId="4C0D5C56" w14:textId="3F38BEAE" w:rsidR="00857930" w:rsidRDefault="00857930" w:rsidP="00857930"/>
    <w:p w14:paraId="379C2923" w14:textId="77777777" w:rsidR="00857930" w:rsidRDefault="00857930" w:rsidP="00857930"/>
    <w:p w14:paraId="7CE30438" w14:textId="1C17BF88" w:rsidR="00857930" w:rsidRDefault="00857930" w:rsidP="00857930"/>
    <w:p w14:paraId="2C25D6C0" w14:textId="77777777" w:rsidR="00857930" w:rsidRDefault="00857930" w:rsidP="00857930"/>
    <w:p w14:paraId="26549F3C" w14:textId="402C406C" w:rsidR="00366E39" w:rsidRDefault="00366E39" w:rsidP="00F65E4C"/>
    <w:sectPr w:rsidR="00366E39" w:rsidSect="00BD271B">
      <w:headerReference w:type="default" r:id="rId11"/>
      <w:footerReference w:type="default" r:id="rId12"/>
      <w:headerReference w:type="first" r:id="rId13"/>
      <w:footerReference w:type="first" r:id="rId14"/>
      <w:pgSz w:w="12240" w:h="15840"/>
      <w:pgMar w:top="1440" w:right="1440" w:bottom="720"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25FB" w14:textId="77777777" w:rsidR="0012296E" w:rsidRDefault="0012296E" w:rsidP="007244C0">
      <w:r>
        <w:separator/>
      </w:r>
    </w:p>
  </w:endnote>
  <w:endnote w:type="continuationSeparator" w:id="0">
    <w:p w14:paraId="18170C45" w14:textId="77777777" w:rsidR="0012296E" w:rsidRDefault="0012296E"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533CABE2" w:rsidR="0012296E" w:rsidRDefault="0012296E">
    <w:pPr>
      <w:pStyle w:val="Footer"/>
    </w:pPr>
    <w:r>
      <w:t>Copyright 2</w:t>
    </w:r>
    <w:r w:rsidR="00F65E4C">
      <w:t>025</w:t>
    </w:r>
    <w:r>
      <w:t xml:space="preserve"> Northwest Kidney Centers</w:t>
    </w:r>
  </w:p>
  <w:p w14:paraId="7FC5B547" w14:textId="4F419866" w:rsidR="0012296E" w:rsidRDefault="0012296E">
    <w:pPr>
      <w:pStyle w:val="Footer"/>
    </w:pPr>
    <w:r>
      <w:t xml:space="preserve">Revision Date: </w:t>
    </w:r>
    <w:r w:rsidR="009E041E">
      <w:fldChar w:fldCharType="begin"/>
    </w:r>
    <w:r w:rsidR="009E041E">
      <w:instrText xml:space="preserve"> DATE \@ "M/d/yyyy" </w:instrText>
    </w:r>
    <w:r w:rsidR="009E041E">
      <w:fldChar w:fldCharType="separate"/>
    </w:r>
    <w:r w:rsidR="00F87713">
      <w:rPr>
        <w:noProof/>
      </w:rPr>
      <w:t>9/29/2025</w:t>
    </w:r>
    <w:r w:rsidR="009E04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1F3B" w14:textId="77777777" w:rsidR="0012296E" w:rsidRDefault="0012296E" w:rsidP="007244C0">
      <w:r>
        <w:separator/>
      </w:r>
    </w:p>
  </w:footnote>
  <w:footnote w:type="continuationSeparator" w:id="0">
    <w:p w14:paraId="3E705FF6" w14:textId="77777777" w:rsidR="0012296E" w:rsidRDefault="0012296E"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138A" w14:textId="77777777" w:rsidR="009C0E01" w:rsidRPr="00613994" w:rsidRDefault="009C0E01" w:rsidP="009C0E01">
    <w:pPr>
      <w:tabs>
        <w:tab w:val="center" w:pos="4680"/>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477"/>
    <w:multiLevelType w:val="hybridMultilevel"/>
    <w:tmpl w:val="E9BA3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65AC"/>
    <w:multiLevelType w:val="hybridMultilevel"/>
    <w:tmpl w:val="7BF01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7505EB7"/>
    <w:multiLevelType w:val="multilevel"/>
    <w:tmpl w:val="1A965C42"/>
    <w:numStyleLink w:val="NKCBullet"/>
  </w:abstractNum>
  <w:abstractNum w:abstractNumId="5"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4452947">
    <w:abstractNumId w:val="1"/>
  </w:num>
  <w:num w:numId="2" w16cid:durableId="1571815648">
    <w:abstractNumId w:val="7"/>
  </w:num>
  <w:num w:numId="3" w16cid:durableId="1013845627">
    <w:abstractNumId w:val="3"/>
  </w:num>
  <w:num w:numId="4" w16cid:durableId="2077362611">
    <w:abstractNumId w:val="4"/>
  </w:num>
  <w:num w:numId="5" w16cid:durableId="723019417">
    <w:abstractNumId w:val="8"/>
  </w:num>
  <w:num w:numId="6" w16cid:durableId="725952565">
    <w:abstractNumId w:val="5"/>
  </w:num>
  <w:num w:numId="7" w16cid:durableId="964584672">
    <w:abstractNumId w:val="6"/>
  </w:num>
  <w:num w:numId="8" w16cid:durableId="1941863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3782155">
    <w:abstractNumId w:val="2"/>
  </w:num>
  <w:num w:numId="10" w16cid:durableId="73015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75831"/>
    <w:rsid w:val="0008555C"/>
    <w:rsid w:val="000B2B7C"/>
    <w:rsid w:val="000C6B03"/>
    <w:rsid w:val="0012296E"/>
    <w:rsid w:val="00126A96"/>
    <w:rsid w:val="00164D7E"/>
    <w:rsid w:val="001E6AF3"/>
    <w:rsid w:val="001F712F"/>
    <w:rsid w:val="00236ACE"/>
    <w:rsid w:val="002509BB"/>
    <w:rsid w:val="00251E0C"/>
    <w:rsid w:val="00270F08"/>
    <w:rsid w:val="00292CE6"/>
    <w:rsid w:val="002D60C8"/>
    <w:rsid w:val="002E1EC8"/>
    <w:rsid w:val="002F56B9"/>
    <w:rsid w:val="00305F61"/>
    <w:rsid w:val="003317C6"/>
    <w:rsid w:val="003445E8"/>
    <w:rsid w:val="00366E39"/>
    <w:rsid w:val="00385740"/>
    <w:rsid w:val="003860C1"/>
    <w:rsid w:val="00395BFA"/>
    <w:rsid w:val="003A5A73"/>
    <w:rsid w:val="004149CE"/>
    <w:rsid w:val="00440DFD"/>
    <w:rsid w:val="0048612D"/>
    <w:rsid w:val="004C673B"/>
    <w:rsid w:val="004D22BD"/>
    <w:rsid w:val="004D6120"/>
    <w:rsid w:val="004E20E4"/>
    <w:rsid w:val="00506C5F"/>
    <w:rsid w:val="005203E5"/>
    <w:rsid w:val="005342B9"/>
    <w:rsid w:val="00566A53"/>
    <w:rsid w:val="00575313"/>
    <w:rsid w:val="005E2D3E"/>
    <w:rsid w:val="005F03F9"/>
    <w:rsid w:val="00613994"/>
    <w:rsid w:val="006309F5"/>
    <w:rsid w:val="006459BF"/>
    <w:rsid w:val="006621AE"/>
    <w:rsid w:val="00672973"/>
    <w:rsid w:val="00673B2C"/>
    <w:rsid w:val="00694036"/>
    <w:rsid w:val="006B4DD9"/>
    <w:rsid w:val="006E7029"/>
    <w:rsid w:val="007016FA"/>
    <w:rsid w:val="007244C0"/>
    <w:rsid w:val="00731499"/>
    <w:rsid w:val="00754DE7"/>
    <w:rsid w:val="007718AC"/>
    <w:rsid w:val="007723E7"/>
    <w:rsid w:val="00775CAB"/>
    <w:rsid w:val="0079259C"/>
    <w:rsid w:val="007A4959"/>
    <w:rsid w:val="007B5887"/>
    <w:rsid w:val="007C48F7"/>
    <w:rsid w:val="008161FD"/>
    <w:rsid w:val="00832B5A"/>
    <w:rsid w:val="00844507"/>
    <w:rsid w:val="008477DA"/>
    <w:rsid w:val="00857930"/>
    <w:rsid w:val="0086218A"/>
    <w:rsid w:val="00880009"/>
    <w:rsid w:val="00891B5F"/>
    <w:rsid w:val="008B3FA9"/>
    <w:rsid w:val="008C068B"/>
    <w:rsid w:val="008D4F32"/>
    <w:rsid w:val="009014C0"/>
    <w:rsid w:val="00913688"/>
    <w:rsid w:val="00914CC0"/>
    <w:rsid w:val="009165FD"/>
    <w:rsid w:val="0093345F"/>
    <w:rsid w:val="009379EB"/>
    <w:rsid w:val="0094256F"/>
    <w:rsid w:val="009C0E01"/>
    <w:rsid w:val="009E041E"/>
    <w:rsid w:val="009E6D58"/>
    <w:rsid w:val="009F704C"/>
    <w:rsid w:val="00A128B9"/>
    <w:rsid w:val="00A2560E"/>
    <w:rsid w:val="00AA2BBA"/>
    <w:rsid w:val="00AC7337"/>
    <w:rsid w:val="00AE3D30"/>
    <w:rsid w:val="00B06BD1"/>
    <w:rsid w:val="00B06E58"/>
    <w:rsid w:val="00B84F88"/>
    <w:rsid w:val="00B948D6"/>
    <w:rsid w:val="00BD271B"/>
    <w:rsid w:val="00BD6F93"/>
    <w:rsid w:val="00BE1915"/>
    <w:rsid w:val="00C143B2"/>
    <w:rsid w:val="00C46DFD"/>
    <w:rsid w:val="00C53E87"/>
    <w:rsid w:val="00CF49A7"/>
    <w:rsid w:val="00D20C76"/>
    <w:rsid w:val="00D215AF"/>
    <w:rsid w:val="00D565F4"/>
    <w:rsid w:val="00DC33AE"/>
    <w:rsid w:val="00DC7879"/>
    <w:rsid w:val="00E1280D"/>
    <w:rsid w:val="00E36A82"/>
    <w:rsid w:val="00E53B5D"/>
    <w:rsid w:val="00E62408"/>
    <w:rsid w:val="00E75A73"/>
    <w:rsid w:val="00E819A9"/>
    <w:rsid w:val="00EB36B4"/>
    <w:rsid w:val="00EB736D"/>
    <w:rsid w:val="00F52418"/>
    <w:rsid w:val="00F65E4C"/>
    <w:rsid w:val="00F72824"/>
    <w:rsid w:val="00F87713"/>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56395472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Stauffer</dc:creator>
  <cp:lastModifiedBy>Ed Stauffer</cp:lastModifiedBy>
  <cp:revision>4</cp:revision>
  <cp:lastPrinted>2011-12-08T16:45:00Z</cp:lastPrinted>
  <dcterms:created xsi:type="dcterms:W3CDTF">2025-09-29T20:42:00Z</dcterms:created>
  <dcterms:modified xsi:type="dcterms:W3CDTF">2025-09-29T20:49:00Z</dcterms:modified>
</cp:coreProperties>
</file>